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6E" w:rsidRDefault="00E35F6E" w:rsidP="004E0AC4">
      <w:pPr>
        <w:pStyle w:val="Corps"/>
        <w:rPr>
          <w:b/>
          <w:bCs/>
          <w:color w:val="AD1915"/>
          <w:sz w:val="32"/>
          <w:szCs w:val="32"/>
        </w:rPr>
      </w:pPr>
      <w:bookmarkStart w:id="0" w:name="_GoBack"/>
      <w:bookmarkEnd w:id="0"/>
      <w:r>
        <w:rPr>
          <w:b/>
          <w:bCs/>
          <w:noProof/>
          <w:color w:val="AD1915"/>
          <w:sz w:val="32"/>
          <w:szCs w:val="32"/>
        </w:rPr>
        <w:t xml:space="preserve">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1238250" cy="1238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D1915"/>
          <w:sz w:val="32"/>
          <w:szCs w:val="32"/>
        </w:rPr>
        <w:t xml:space="preserve">                                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2044700" cy="124523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DM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72" cy="12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D1915"/>
          <w:sz w:val="32"/>
          <w:szCs w:val="32"/>
        </w:rPr>
        <w:t xml:space="preserve">                     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1143000" cy="105687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rge-2017-CMJ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46" cy="109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87" w:rsidRDefault="00727987" w:rsidP="0070175C">
      <w:pPr>
        <w:pStyle w:val="Corps"/>
        <w:jc w:val="both"/>
        <w:rPr>
          <w:b/>
          <w:bCs/>
          <w:color w:val="AD1915"/>
          <w:sz w:val="32"/>
          <w:szCs w:val="32"/>
        </w:rPr>
      </w:pPr>
    </w:p>
    <w:p w:rsidR="00601280" w:rsidRDefault="00601280" w:rsidP="00601280">
      <w:pPr>
        <w:pStyle w:val="Corps"/>
        <w:jc w:val="both"/>
        <w:rPr>
          <w:b/>
          <w:bCs/>
          <w:color w:val="AD1915"/>
          <w:sz w:val="32"/>
          <w:szCs w:val="32"/>
        </w:rPr>
      </w:pPr>
      <w:r>
        <w:rPr>
          <w:b/>
          <w:bCs/>
          <w:color w:val="AD1915"/>
          <w:sz w:val="32"/>
          <w:szCs w:val="32"/>
        </w:rPr>
        <w:t>Information à l’attention des patients :</w:t>
      </w:r>
    </w:p>
    <w:p w:rsidR="00601280" w:rsidRDefault="00601280" w:rsidP="00601280">
      <w:pPr>
        <w:pStyle w:val="Corps"/>
        <w:jc w:val="both"/>
        <w:rPr>
          <w:b/>
          <w:bCs/>
          <w:color w:val="AD1915"/>
          <w:sz w:val="32"/>
          <w:szCs w:val="32"/>
        </w:rPr>
      </w:pPr>
    </w:p>
    <w:p w:rsidR="00601280" w:rsidRDefault="00601280" w:rsidP="00601280">
      <w:pPr>
        <w:pStyle w:val="Corps"/>
        <w:jc w:val="both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Votre médecin, le </w:t>
      </w:r>
      <w:proofErr w:type="gramStart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Dr  </w:t>
      </w: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proofErr w:type="gramEnd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  <w:t xml:space="preserve">, a été </w:t>
      </w:r>
      <w:proofErr w:type="spellStart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>agréé.e</w:t>
      </w:r>
      <w:proofErr w:type="spellEnd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par la faculté de médecine de Montpellier-Nîmes comme Maître de Stage Universitaire, et accueille un externe qui se nomme :</w:t>
      </w:r>
    </w:p>
    <w:p w:rsidR="00601280" w:rsidRDefault="00601280" w:rsidP="00601280">
      <w:pPr>
        <w:pStyle w:val="Corps"/>
        <w:jc w:val="both"/>
        <w:rPr>
          <w:rFonts w:asciiTheme="minorHAnsi" w:hAnsiTheme="minorHAnsi" w:cstheme="minorHAnsi"/>
          <w:sz w:val="28"/>
          <w:szCs w:val="28"/>
        </w:rPr>
      </w:pPr>
    </w:p>
    <w:p w:rsidR="00601280" w:rsidRDefault="00601280" w:rsidP="00601280">
      <w:pPr>
        <w:pStyle w:val="Corps"/>
        <w:jc w:val="both"/>
        <w:rPr>
          <w:rFonts w:asciiTheme="minorHAnsi" w:hAnsiTheme="minorHAnsi" w:cstheme="minorHAnsi"/>
          <w:sz w:val="28"/>
          <w:szCs w:val="28"/>
        </w:rPr>
      </w:pPr>
    </w:p>
    <w:p w:rsidR="00601280" w:rsidRDefault="00601280" w:rsidP="00601280">
      <w:pPr>
        <w:pStyle w:val="Corps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Il s’agit d’un étudiant en médecine en quatrième année, qui n’a pas encore choisi sa future spé</w:t>
      </w: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cialit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é. Sa participation aux consultations lui permet de découvrir la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mé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decine g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énérale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et l’exercice médical en dehors de l’hôpital. Il participera aux consultations en présence de votre médecin habituel. Ce stage de 1 mois un moment très important au cours de sa formation médicale. </w:t>
      </w:r>
    </w:p>
    <w:p w:rsidR="00601280" w:rsidRDefault="00601280" w:rsidP="00601280">
      <w:pPr>
        <w:pStyle w:val="Corps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601280" w:rsidRDefault="00601280" w:rsidP="00601280">
      <w:pPr>
        <w:pStyle w:val="Corps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La présence de l’externe n’est pas obligatoire : si cela vous gêne, il vous suffit de le signaler lors de la prise de rendez-vous, avant, ou pendant la consultation. </w:t>
      </w:r>
    </w:p>
    <w:p w:rsidR="006E1E91" w:rsidRDefault="006E1E91" w:rsidP="00E35F6E">
      <w:pPr>
        <w:pStyle w:val="Corps"/>
        <w:ind w:left="2832" w:firstLine="708"/>
        <w:rPr>
          <w:b/>
          <w:bCs/>
          <w:color w:val="AD1915"/>
          <w:sz w:val="32"/>
          <w:szCs w:val="32"/>
        </w:rPr>
      </w:pPr>
    </w:p>
    <w:p w:rsidR="006E1E91" w:rsidRDefault="006E1E91" w:rsidP="00E35F6E">
      <w:pPr>
        <w:pStyle w:val="Corps"/>
        <w:ind w:left="2832" w:firstLine="708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</w:p>
    <w:p w:rsidR="00E35F6E" w:rsidRDefault="0070175C" w:rsidP="00E35F6E">
      <w:pPr>
        <w:pStyle w:val="Corps"/>
        <w:ind w:left="2832" w:firstLine="708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Merci </w:t>
      </w:r>
      <w:r w:rsidR="004E0AC4">
        <w:rPr>
          <w:rFonts w:asciiTheme="minorHAnsi" w:hAnsiTheme="minorHAnsi" w:cstheme="minorHAnsi"/>
          <w:b/>
          <w:bCs/>
          <w:color w:val="AD1915"/>
          <w:sz w:val="28"/>
          <w:szCs w:val="28"/>
        </w:rPr>
        <w:t>pour</w:t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votre participatio</w:t>
      </w:r>
      <w:r w:rsidR="00E35F6E">
        <w:rPr>
          <w:rFonts w:asciiTheme="minorHAnsi" w:hAnsiTheme="minorHAnsi" w:cstheme="minorHAnsi"/>
          <w:b/>
          <w:bCs/>
          <w:color w:val="AD1915"/>
          <w:sz w:val="28"/>
          <w:szCs w:val="28"/>
        </w:rPr>
        <w:t>n</w:t>
      </w:r>
    </w:p>
    <w:p w:rsidR="00E35F6E" w:rsidRDefault="00E35F6E" w:rsidP="004E0AC4">
      <w:pPr>
        <w:pStyle w:val="Corps"/>
      </w:pPr>
    </w:p>
    <w:p w:rsidR="0070175C" w:rsidRPr="004E0AC4" w:rsidRDefault="0070175C" w:rsidP="004E0AC4">
      <w:pPr>
        <w:pStyle w:val="Corps"/>
        <w:ind w:left="3540"/>
        <w:rPr>
          <w:rFonts w:asciiTheme="minorHAnsi" w:hAnsiTheme="minorHAnsi" w:cstheme="minorHAnsi"/>
        </w:rPr>
      </w:pPr>
      <w:r w:rsidRPr="00E35F6E">
        <w:rPr>
          <w:rFonts w:asciiTheme="minorHAnsi" w:hAnsiTheme="minorHAnsi" w:cstheme="minorHAnsi"/>
        </w:rPr>
        <w:t xml:space="preserve">Mr Le Doyen de l’Université de Montpellier                                            </w:t>
      </w:r>
      <w:r w:rsidR="00AA2DDB" w:rsidRPr="00E35F6E">
        <w:rPr>
          <w:rFonts w:asciiTheme="minorHAnsi" w:hAnsiTheme="minorHAnsi" w:cstheme="minorHAnsi"/>
        </w:rPr>
        <w:t xml:space="preserve">                       </w:t>
      </w:r>
      <w:r w:rsidRPr="00E35F6E">
        <w:rPr>
          <w:rFonts w:asciiTheme="minorHAnsi" w:hAnsiTheme="minorHAnsi" w:cstheme="minorHAnsi"/>
        </w:rPr>
        <w:t xml:space="preserve">        </w:t>
      </w:r>
      <w:r w:rsidRPr="00E35F6E">
        <w:rPr>
          <w:rFonts w:cstheme="minorHAnsi"/>
        </w:rPr>
        <w:t xml:space="preserve">                                            </w:t>
      </w:r>
      <w:r w:rsidR="004E0AC4">
        <w:rPr>
          <w:rFonts w:cstheme="minorHAnsi"/>
        </w:rPr>
        <w:tab/>
      </w:r>
      <w:r w:rsidR="004E0AC4">
        <w:rPr>
          <w:rFonts w:cstheme="minorHAnsi"/>
        </w:rPr>
        <w:tab/>
      </w:r>
      <w:r w:rsidR="004E0AC4">
        <w:rPr>
          <w:rFonts w:cstheme="minorHAnsi"/>
        </w:rPr>
        <w:tab/>
      </w:r>
      <w:r w:rsidRPr="00E35F6E">
        <w:rPr>
          <w:rFonts w:cstheme="minorHAnsi"/>
        </w:rPr>
        <w:tab/>
      </w:r>
      <w:r w:rsidRPr="00E35F6E">
        <w:rPr>
          <w:rFonts w:cstheme="minorHAnsi"/>
        </w:rPr>
        <w:tab/>
      </w:r>
      <w:r w:rsidR="00752982" w:rsidRPr="00E35F6E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0AC4">
        <w:rPr>
          <w:rFonts w:asciiTheme="minorHAnsi" w:hAnsiTheme="minorHAnsi" w:cstheme="minorHAnsi"/>
        </w:rPr>
        <w:t>Mr le directeur du Département de Médecine Générale de Montpellier-Nîmes</w:t>
      </w:r>
    </w:p>
    <w:sectPr w:rsidR="0070175C" w:rsidRPr="004E0AC4" w:rsidSect="00701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5C"/>
    <w:rsid w:val="001A351F"/>
    <w:rsid w:val="003949B3"/>
    <w:rsid w:val="004E0AC4"/>
    <w:rsid w:val="00601280"/>
    <w:rsid w:val="006E1E91"/>
    <w:rsid w:val="0070175C"/>
    <w:rsid w:val="00727987"/>
    <w:rsid w:val="00752982"/>
    <w:rsid w:val="00853D91"/>
    <w:rsid w:val="008B3D2C"/>
    <w:rsid w:val="00AA2DDB"/>
    <w:rsid w:val="00DD7FA6"/>
    <w:rsid w:val="00E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DF2A-5842-440C-93F9-D392FAB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701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character" w:styleId="Lienhypertexte">
    <w:name w:val="Hyperlink"/>
    <w:rsid w:val="00DD7FA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Pavageau</dc:creator>
  <cp:keywords/>
  <dc:description/>
  <cp:lastModifiedBy>Sylvain Pavageau</cp:lastModifiedBy>
  <cp:revision>2</cp:revision>
  <dcterms:created xsi:type="dcterms:W3CDTF">2017-12-01T19:59:00Z</dcterms:created>
  <dcterms:modified xsi:type="dcterms:W3CDTF">2017-12-01T19:59:00Z</dcterms:modified>
</cp:coreProperties>
</file>